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pt;margin-top:0.1pt;width:25.9pt;height:6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color w:val="000000"/>
                      <w:position w:val="0"/>
                    </w:rPr>
                    <w:t>AUSLAND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5pt;margin-top:20.45pt;width:98.9pt;height:306.5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erneut zu befragen. Das Paar beteu</w:t>
                    <w:softHyphen/>
                    <w:t>erte, die Tatnacht gemeinsam ver</w:t>
                    <w:softHyphen/>
                    <w:t>bracht zu haben: Sie hätten sich »Die fabelhafte Welt der Amelie« angese</w:t>
                    <w:softHyphen/>
                    <w:t>hen, bevor sie einschliefen.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26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Den Beamten reichte diese Ant</w:t>
                    <w:softHyphen/>
                    <w:t>wort nicht. Nach Stunden des Verhörs, so beschreibt es Knox heute, behaup</w:t>
                    <w:softHyphen/>
                    <w:t>tete die Polizei, sie habe Beweise, dass Knox lüge. Es sei belegt, dass sie den Mord an Kercher mitangesehen habe. Ihre fehlende Erinnerung daran sei eine Folge des Traumas: Knox habe das Gesehene verdrängt.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6"/>
                    <w:ind w:left="0" w:right="0" w:firstLine="26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In den Stunden danach verlangten die Beamten immer wieder, Knox müsse sich »an die Wahrheit erin</w:t>
                    <w:softHyphen/>
                    <w:t>nern«. so erzählt sie es heute. Dabei wurden sie stetig wütender, zweimal habe ihr jemand mit der flachen Hand auf den Kopf geschlagen. Knox, ver</w:t>
                    <w:softHyphen/>
                    <w:t>ängstigt und verwirrt, begann, an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24 Stunden ohne Schlaf sah sie plötz</w:t>
                    <w:softHyphen/>
                    <w:t>lich Bilder und hörte Schreie: Hatte sie den Mord vielleicht tatsächlich mitangesehen und vergessen, so wie die Beamten es ihr einredeten?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26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Um 5.45 Uhr des 6. November 2007 unterschrieb Knox schließlich eine Aussage, die sie vier Jahre ihres Lebens in Freiheit kosten würde. Da</w:t>
                    <w:softHyphen/>
                    <w:t>rin beschuldigte sie ihren damaligen Chef, den Besitzer einer Bar in Peru</w:t>
                    <w:softHyphen/>
                    <w:t>gia. des Mordes an Kercher. Kurz da</w:t>
                    <w:softHyphen/>
                    <w:t>rauf erklärte die Polizei den Fall für gelöst: Knox, Sollecito und der Bar</w:t>
                    <w:softHyphen/>
                    <w:t>besitzer hätten die britische Studentin gemeinsam getötet.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26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»Von allem, was passiert ist, war dieses Verhör die schlimmste Erfah</w:t>
                    <w:softHyphen/>
                    <w:t>rung«. sagt Knox. »Nicht nur weil ich so verängstigt und so verwirrt war wie noch nie in meinem Leben. Son</w:t>
                    <w:softHyphen/>
                    <w:t>dern auch weil viele Menschen bis heute nicht verstehen, wie Polizei etwas erzählen konnte, das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97.7pt;margin-top:160.1pt;width:13.45pt;height:20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0" w:name="bookmark0"/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t't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.5pt;margin-top:331.5pt;width:98.9pt;height:132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13"/>
                    </w:rPr>
                    <w:t>selbst passiert wäre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 ich verstünde es auch nicht. Aber so war es.«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22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Die Polizei in Perugia stritt damals </w:t>
                  </w:r>
                  <w:r>
                    <w:rPr>
                      <w:lang w:val="de-DE" w:eastAsia="de-DE" w:bidi="de-DE"/>
                      <w:vertAlign w:val="subscript"/>
                      <w:w w:val="100"/>
                      <w:spacing w:val="0"/>
                      <w:color w:val="000000"/>
                      <w:position w:val="0"/>
                    </w:rPr>
                    <w:t xml:space="preserve">( 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ab, Knox unter Druck gesetzt oder geschlagen zu haben. Eine Aufnahme oder eine Abschrift des Verhörs gibt cs nicht, obwohl alle anderen Gesprä</w:t>
                  </w:r>
                  <w:r>
                    <w:rPr>
                      <w:rStyle w:val="CharStyle14"/>
                    </w:rPr>
                    <w:t xml:space="preserve">-1 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che mit Knox aufgezeichnet wurden.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22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Doch die Theorie der Staatsan</w:t>
                    <w:softHyphen/>
                    <w:t>waltschaft zerfiel schnell. Kurz nach Knox’ Geständnis meldete sich ein Schweizer Professor und bezeugte, er habe sich zur Tatzeit mit dem Bar</w:t>
                    <w:softHyphen/>
                    <w:t>besitzer in dessen Lokal unterhalten. Auch Knox und Sollecito hatten Ker- chcrs Zimmer nicht betreten: Die Forensiker, auf deren Auswertung die Polizei nicht gewartet hatte, fanden weder ihre Fingerabdrücke noch DNA.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06.8pt;margin-top:319.9pt;width:57.6pt;height:75.0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30" w:line="150" w:lineRule="exact"/>
                    <w:ind w:left="0" w:right="0" w:firstLine="0"/>
                  </w:pPr>
                  <w:bookmarkStart w:id="1" w:name="bookmark1"/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»Die Polizei</w:t>
                  </w:r>
                  <w:bookmarkEnd w:id="1"/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Medien haben eine Figur geschaffen, die nichts mit mir zu tun hat.«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75.45pt;margin-top:318.2pt;width:192.5pt;height:13.4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10" w:lineRule="exact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Stattdcssen war der Raum voller j in der Knox aus dein Gefängnis mif- </w:t>
                  </w:r>
                  <w:r>
                    <w:rPr>
                      <w:rStyle w:val="CharStyle19"/>
                    </w:rPr>
                    <w:t xml:space="preserve">n- 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| </w:t>
                  </w:r>
                  <w:r>
                    <w:rPr>
                      <w:rStyle w:val="CharStyle19"/>
                    </w:rPr>
                    <w:t xml:space="preserve">mischen 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musste, wie </w:t>
                  </w:r>
                  <w:r>
                    <w:rPr>
                      <w:rStyle w:val="CharStyle13"/>
                    </w:rPr>
                    <w:t>ihr Bild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 um </w:t>
                  </w:r>
                  <w:r>
                    <w:rPr>
                      <w:rStyle w:val="CharStyle13"/>
                    </w:rPr>
                    <w:t>die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66.3pt;margin-top:323.15pt;width:99.35pt;height:143.2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Spuren eines polizcibckonntcn Mai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nes. Rudy Guede, damals 20 Jahre alt, wurde in der Elfenbeinküste ge</w:t>
                    <w:softHyphen/>
                    <w:t>boren und kam als Fünfjähriger mit seinem Vater nach Italien. Als der DNA-Abgleich einen Treffer ergab, war Guede bereits mehrfach auffällig geworden: wegen Einbruchs, Dieb</w:t>
                    <w:softHyphen/>
                    <w:t>stahls, versuchter Körperverletzung. Wenige Tage vor dem Mord wurde er festgenommen, weil er in einen Kin</w:t>
                    <w:softHyphen/>
                    <w:t>dergarten eingedrungen war. ln sei</w:t>
                    <w:softHyphen/>
                    <w:t>nem Rucksack fand die Polizei ein großes Messer.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0" w:lineRule="exact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Guede kam in Haft und wurde we</w:t>
                    <w:softHyphen/>
                    <w:t>gen Mordes zu 30 Jahren verurteilt. Doch obwohl die forensische Unter- I suchung des Tatorts Knox und Solle- I cito freisprach, ließ die Justiz sie nicht gehen. Stattdcssen begann eine zwei I Jahre dauernde Untersuchungshaft,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67.6pt;margin-top:330.2pt;width:102.5pt;height:136.8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4" w:lineRule="exact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Theorie, Knox habe ihre Mitbewoh</w:t>
                    <w:softHyphen/>
                    <w:t>nerin zusammen mit Sollecito und Guede ermordet.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4" w:lineRule="exact"/>
                    <w:ind w:left="0" w:right="0" w:firstLine="20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Wenn Knox im Gefängnis den Fernseher einschaltete, hörte sie, wie fremde Menschen sie eine Psycho</w:t>
                    <w:softHyphen/>
                    <w:t>pathin nannten. Blogger in aller Welt analysierten Knox’ Gesichtszüge und folgerten, sie sei unfähig zu Emotio</w:t>
                    <w:softHyphen/>
                    <w:t>nen. Eine Kriminologin verglich Knox mit dem Nazi Adolf Eichmann, der den Mord an den europäischen Juden orchestrierte: Sic wirke genau</w:t>
                    <w:softHyphen/>
                    <w:t>so teilnahmslos und arrogant wie er.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4" w:lineRule="exact"/>
                    <w:ind w:left="0" w:right="0" w:firstLine="20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Die Polizei befeuerte den Rummel mit vermeintlichen Indizien, die sich später als Produkt schlampiger Ermitt</w:t>
                    <w:softHyphen/>
                    <w:t>lungen entpuppten. Manchmal schien es, als schikanierten die Behörden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5.e-002pt;margin-top:32.2pt;width:364.8pt;height:304.8pt;z-index:-251658752;mso-wrap-distance-left:5.pt;mso-wrap-distance-right:5.pt;mso-position-horizontal-relative:margin;mso-position-vertical-relative:margin" wrapcoords="0 0">
            <v:imagedata r:id="rId5" r:href="rId6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</w:pPr>
    </w:p>
    <w:sectPr>
      <w:footerReference w:type="default" r:id="rId7"/>
      <w:footnotePr>
        <w:pos w:val="pageBottom"/>
        <w:numFmt w:val="decimal"/>
        <w:numRestart w:val="continuous"/>
      </w:footnotePr>
      <w:type w:val="continuous"/>
      <w:pgSz w:w="7584" w:h="9830"/>
      <w:pgMar w:top="85" w:left="101" w:right="82" w:bottom="8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06.95pt;margin-top:478.3pt;width:63.35pt;height:4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f t</w:t>
                </w:r>
                <w:r>
                  <w:rPr>
                    <w:rStyle w:val="CharStyle6"/>
                  </w:rPr>
                  <w:t xml:space="preserve"> 12,2.2022 OERSPIEOEl 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de-DE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de-DE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8"/>
      <w:szCs w:val="8"/>
      <w:rFonts w:ascii="Cambria" w:eastAsia="Cambria" w:hAnsi="Cambria" w:cs="Cambria"/>
    </w:rPr>
  </w:style>
  <w:style w:type="character" w:customStyle="1" w:styleId="CharStyle5">
    <w:name w:val="Header or footer + Italic"/>
    <w:basedOn w:val="CharStyle4"/>
    <w:rPr>
      <w:lang w:val="de-DE" w:eastAsia="de-DE" w:bidi="de-DE"/>
      <w:i/>
      <w:iCs/>
      <w:w w:val="100"/>
      <w:spacing w:val="0"/>
      <w:color w:val="000000"/>
      <w:position w:val="0"/>
    </w:rPr>
  </w:style>
  <w:style w:type="character" w:customStyle="1" w:styleId="CharStyle6">
    <w:name w:val="Header or footer"/>
    <w:basedOn w:val="CharStyle4"/>
    <w:rPr>
      <w:lang w:val="de-DE" w:eastAsia="de-DE" w:bidi="de-DE"/>
      <w:w w:val="100"/>
      <w:spacing w:val="0"/>
      <w:color w:val="000000"/>
      <w:position w:val="0"/>
    </w:rPr>
  </w:style>
  <w:style w:type="character" w:customStyle="1" w:styleId="CharStyle8">
    <w:name w:val="Body text (3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Gulim" w:eastAsia="Gulim" w:hAnsi="Gulim" w:cs="Gulim"/>
      <w:spacing w:val="0"/>
    </w:rPr>
  </w:style>
  <w:style w:type="character" w:customStyle="1" w:styleId="CharStyle10">
    <w:name w:val="Body text (2) Exact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character" w:customStyle="1" w:styleId="CharStyle12">
    <w:name w:val="Heading #1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Georgia" w:eastAsia="Georgia" w:hAnsi="Georgia" w:cs="Georgia"/>
    </w:rPr>
  </w:style>
  <w:style w:type="character" w:customStyle="1" w:styleId="CharStyle13">
    <w:name w:val="Body text (2) + Italic Exact"/>
    <w:basedOn w:val="CharStyle10"/>
    <w:rPr>
      <w:lang w:val="de-DE" w:eastAsia="de-DE" w:bidi="de-DE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Body text (2) + Gulim,4.5 pt,Spacing 1 pt Exact"/>
    <w:basedOn w:val="CharStyle10"/>
    <w:rPr>
      <w:lang w:val="de-DE" w:eastAsia="de-DE" w:bidi="de-DE"/>
      <w:sz w:val="9"/>
      <w:szCs w:val="9"/>
      <w:rFonts w:ascii="Gulim" w:eastAsia="Gulim" w:hAnsi="Gulim" w:cs="Gulim"/>
      <w:w w:val="100"/>
      <w:spacing w:val="30"/>
      <w:color w:val="000000"/>
      <w:position w:val="0"/>
    </w:rPr>
  </w:style>
  <w:style w:type="character" w:customStyle="1" w:styleId="CharStyle16">
    <w:name w:val="Heading #2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character" w:customStyle="1" w:styleId="CharStyle18">
    <w:name w:val="Body text (4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</w:rPr>
  </w:style>
  <w:style w:type="character" w:customStyle="1" w:styleId="CharStyle19">
    <w:name w:val="Body text (2) + 4.5 pt Exact"/>
    <w:basedOn w:val="CharStyle10"/>
    <w:rPr>
      <w:lang w:val="de-DE" w:eastAsia="de-DE" w:bidi="de-DE"/>
      <w:sz w:val="9"/>
      <w:szCs w:val="9"/>
      <w:w w:val="100"/>
      <w:spacing w:val="0"/>
      <w:color w:val="000000"/>
      <w:position w:val="0"/>
    </w:rPr>
  </w:style>
  <w:style w:type="character" w:customStyle="1" w:styleId="CharStyle21">
    <w:name w:val="Body text (5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ambria" w:eastAsia="Cambria" w:hAnsi="Cambria" w:cs="Cambria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ulim" w:eastAsia="Gulim" w:hAnsi="Gulim" w:cs="Gulim"/>
      <w:spacing w:val="0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jc w:val="both"/>
      <w:spacing w:line="125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paragraph" w:customStyle="1" w:styleId="Style11">
    <w:name w:val="Heading #1"/>
    <w:basedOn w:val="Normal"/>
    <w:link w:val="CharStyle12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eorgia" w:eastAsia="Georgia" w:hAnsi="Georgia" w:cs="Georgia"/>
    </w:rPr>
  </w:style>
  <w:style w:type="paragraph" w:customStyle="1" w:styleId="Style15">
    <w:name w:val="Heading #2"/>
    <w:basedOn w:val="Normal"/>
    <w:link w:val="CharStyle16"/>
    <w:pPr>
      <w:widowControl w:val="0"/>
      <w:shd w:val="clear" w:color="auto" w:fill="FFFFFF"/>
      <w:outlineLvl w:val="1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spacing w:before="180" w:line="18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</w:rPr>
  </w:style>
  <w:style w:type="paragraph" w:customStyle="1" w:styleId="Style20">
    <w:name w:val="Body text (5)"/>
    <w:basedOn w:val="Normal"/>
    <w:link w:val="CharStyle21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11632.jpg</dc:title>
  <dc:subject/>
  <dc:creator>Peter</dc:creator>
  <cp:keywords/>
</cp:coreProperties>
</file>